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2014/189 vom 7. März 2013</w:t>
      </w:r>
    </w:p>
    <w:p>
      <w:r>
        <w:t>Sg Versicherungsgericht, 2013-03-07, DE</w:t>
      </w:r>
    </w:p>
    <w:p>
      <w:r>
        <w:rPr>
          <w:b/>
        </w:rPr>
        <w:t xml:space="preserve">Quelle: </w:t>
      </w:r>
      <w:r>
        <w:t>https://mcp.opencaselaw.ch/entscheid/sg_publikationen_IV 2014_189</w:t>
      </w:r>
    </w:p>
    <w:p>
      <w:r>
        <w:t>FR: SG_VERSICHERUNGSGERICHT IV 2014/189 du 7 mars 2013</w:t>
      </w:r>
    </w:p>
    <w:p>
      <w:r>
        <w:t>IT: SG_VERSICHERUNGSGERICHT IV 2014/189 del 7 marzo 2013</w:t>
      </w:r>
    </w:p>
    <w:p>
      <w:pPr>
        <w:pStyle w:val="Heading2"/>
      </w:pPr>
      <w:r>
        <w:t>Regeste</w:t>
      </w:r>
    </w:p>
    <w:p>
      <w:r>
        <w:t>Art. 28 IVG. Rentenanspruch. Beweiswürdigung MEDAS-Gutachten. Beweiskraft der darin bescheinigten 100%igen Arbeitsfähigkeit bejaht. Kein rentenbegründender Invaliditätsgrad (Entscheid des Versicherungsgerichts des Kantons St. Gallen vom 6. Januar 2017, IV 2014/189). Entscheid vom 6. Januar 2017</w:t>
      </w:r>
    </w:p>
    <w:p>
      <w:pPr>
        <w:pStyle w:val="Heading2"/>
      </w:pPr>
      <w:r>
        <w:t>Erwägungen</w:t>
      </w:r>
    </w:p>
    <w:p>
      <w:r>
        <w:rPr>
          <w:b/>
        </w:rPr>
        <w:t>E. 1</w:t>
      </w:r>
    </w:p>
    <w:p>
      <w:r>
        <w:t>Zwischen den Parteien umstritten und nachfolgend zu prüfen ist der Rentenanspruch der Beschwerdeführerin.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1.4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Zunächst ist die Frage zu beantworten, ob der Sachverhalt in medizinischer Hinsicht rechtsgenüglich abgeklärt worden ist. 2.1  Hinsichtlich des somatischen Teils des MEDAS-Gutachtens ergeben sich keine Hinweise, welche Zweifel an der gutachterlichen Beurteilung (100%ige Arbeitsfähigkeit) entstehen lassen. Die Beschwerdeführerin kritisiert denn auch ausschliesslich den psychiatrischen Teil des Gutachtens. 2.2  Gegen die Beweiskraft des psychiatrischen Teils des MEDAS-Gutachtens führt die Beschwerdeführerin die davon abweichende Beurteilung von Dr. med. B.___, Facharzt für Psychiatrie und Psychotherapie FMH, vom 17. November 2011 ins Feld (act. G 1, Rz 1; IV-act. 76-4 ff.). Med. prakt. C.___ hat sich mit der Beurteilung von Dr. B.___ auseinandergesetzt (IV-act. 107-32). Er hat begründet dargelegt, weshalb die von Dr. B.___ vorrangig gestellte Diagnose einer seit Geburt bestehenden schweren kombinierten Persönlichkeitsstörung (ICD-10: F61; siehe hierzu IV-act. 76-5 f.) unzutreffend ist. Darauf kann verwiesen werden. Anzufügen bleibt, dass in den medizinischen Vorakten die Diagnose einer Persönlichkeitsstörung ebenfalls nicht gestellt wurde (siehe IV-act. 17-2, IV-act. 48-8 und IV-act. 62-14). Die Beurteilung von Dr. B.___ enthält sodann keine objektiv relevanten Gesichtspunkte, die med. prakt. C.___ zu Unrecht ausser Acht gelassen hat. Solche benennt auch die Beschwerdeführerin nicht. Unter diesen Umständen vermag die Einschätzung von Dr. B.___ keine Zweifel am psychiatrischen Teil des MEDAS-Gutachten zu begründen. 2.3  Des Weiteren rügt die Beschwerdeführerin, med. prakt. C.___ versuche offensichtlich sämtliche psychiatrisch relevanten Diagnosen zu verharmlosen und die versicherungsmedizinisch irrelevanten Diagnosen wie diejenige der somatoformen Schmerzstörung überstark zu gewichten. Zudem fokussiere er sich zu Unrecht auf psychosoziale Faktoren (act. G 1, Rz 2). Ausserdem bringt die Beschwerdeführerin vor, med. prakt. C.___ betrachte jede Diagnose isoliert, anstatt sie umfassend von der Summe und der Wechselwirkung her zu beurteilen (act. G 1, Rz 2 am Schluss). 2.3.1      Vorweg ist darauf hinzuweisen, dass bei der Beurteilung der Arbeitsfähigkeit nicht die gestellten Diagnosen für sich allein ins Gewicht fallen, sondern massgebend ist eine individuell-konkrete Würdigung der diesen zugrunde liegenden Befunde und der daraus folgenden allfälligen Beeinträchtigungen der Funktionsfähigkeit. 2.3.2      Med. prakt. C.___ stützte seine Arbeitsfähigkeitsschätzung auf ein umfassendes Bild über die Alltagsaktivitäten und die Ressourcen der Beschwerdeführerin (zur Beurteilung der Handicaps und erhaltenen Funktionen/Ressourcen siehe IV-act. 107-33). Die Beschwerdeführerin verfügt über soziale Kontakte (IV-act. 107-28). Die Besorgung des Haushalts, die Zubereitung des Essens und die Pflege sowie die Betreuung des Kleinkinds vermag die Beschwerdeführerin uneingeschränkt zu verrichten (IV-act. 107-28, IV-act. 107-29 und IV-act. 107-33). Ihre Probleme bespreche sie mit dem Hausarzt. Psychotherapeutische Unterstützung nimmt sie nicht in Anspruch (IV-act. 107-29). In damit zu vereinbarender Weise ergeben sich aus den unbestritten gebliebenen Angaben der Beschwerdeführerin zu ihrem Leiden keine erheblichen Funktionseinschränkungen (IV-act. 107-29 unten). Bezüglich der geklagten Schmerzen bzw. deren „diffusen Ausbreitung“ bemerkte med. prakt. C.___, die geäusserte Schmerzproblematik werde anlässlich des Untersuchungsgesprächs nicht sichtbar. Die Beschwerdeführerin bewege sich unauffällig, sitze problemlos auf dem Boden und wirke dabei nicht schmerzgeplagt (IV-act. 107-30 oben und IV-act. 107-32 unten; zur früher von Dr. D.___ genannten Aggravationstendenz siehe IV-act. 62-15 unten). Entgegen der Auffassung der Beschwerdeführerin kann damit keine Rede davon sein, med. prakt. C.___ habe sich zu Unrecht auf psychosoziale Belastungen fokussiert. Dass er daneben psychosoziale Belastungsfaktoren sowie emotionale Konflikte beschrieb und diesen im Rahmen einer ganzheitlichen Beurteilung Rechnung getragen hat (IV-act. 107-32 und IV-act. 107-34), ist nicht zu beanstanden. Dies umso weniger, als die Beschwerdeführerin nicht konkret substanziiert, inwiefern die medizinische Einordnung dieser Aspekte durch med. prakt. C.___ unzutreffend ist. 2.3.3      Der Vorwurf der Beschwerdeführerin, med. prakt. C.___ habe der somatoformen Schmerzstörung eine überschiessende Tragweite beigemessen, ist unbegründet. Med. prakt. C.___ legte nachvollziehbar unter Einbezug der Erkenntnisse der somatischen MEDAS-Gutachter dar, weshalb er die somatoforme Schmerzstörung als zentrale Problematik betrachtet (IV-act. 107-32). Die Sichtweise von med. prakt. C.___ wird zudem von Dr. D.___ bestätigt, der die anhaltend somatoforme Schmerzstörung ebenfalls als im Vordergrund stehendes Leiden bezeichnete (IV-act. 62-14). 2.3.4      Bei der Würdigung des psychiatrischen Teils des MEDAS-Gutachtens ist ausserdem von Bedeutung, dass er auf eigenständigen Abklärungen beruht und für die streitigen Belange umfassend ist. Die medizinischen Vorakten wurden verwertet und die von der Beschwerdeführerin geklagten Beschwerden berücksichtigt und gewürdigt (vgl. auch die RAD-Stellungnahme vom 13. Januar 2014, IV-act. 108). Es bestehen keine Anhaltspunkte dafür, dass objektiv wesentliche Tatsachen nicht berücksichtigt worden wären. Vor diesem Hintergrund ist ein weiterer medizinischer Abklärungsbedarf zu verneinen. Hinweise für eine in der Zeit seit der MEDAS-Begutachtung bis zum Verfügungserlass vom 27. Februar 2014 eingetretene gesundheitliche Veränderung ergeben sich weder aus den Akten noch aus den Ausführungen der Parteien. 2.4  Gestützt auf das Gutachten der MEDAS Ostschweiz ist mit überwiegender Wahrscheinlichkeit davon auszugehen, dass die Beschwerdeführerin (auch retrospektiv) über eine 100%ige Arbeitsfähigkeit verfügt. Die Vornahme eines konkreten Einkommensvergleichs erübrigt sich, da die Beschwerdeführerin als Gesunde im Vergleich mit den statistischen Hilfsarbeiterinnenlöhnen nicht erheblich überdurchschnittliche Löhne erzielt hat (vgl. IV-act. 11-2) bzw. keine Hinweise für eine erheblich überdurchschnittliche Erwerbsfähigkeit als Gesunde bestehen. Unter diesen Umständen führt selbst ein Prozentvergleich mit 25%igem Tabellenlohnabzug offensichtlich zu keinem rentenbegründenden Invaliditätsgrad von mindestens 40%.</w:t>
      </w:r>
    </w:p>
    <w:p>
      <w:r>
        <w:rPr>
          <w:b/>
        </w:rPr>
        <w:t>E. 3</w:t>
      </w:r>
    </w:p>
    <w:p>
      <w:r>
        <w:t>Nach dem Gesagten ist die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Der geleistete Kostenvorschuss von Fr. 600.-- ist ihr daran anzurechnen. Ausgangsgemäss hat die Beschwerdeführerin keinen Anspruch auf eine Parteientschädigung. Entscheid im Zirkulationsverfahren gemäss Art. 39 VRP 1. Die Beschwerde wird abgewiesen. 2.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